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  <w:drawing>
          <wp:inline distB="0" distT="0" distL="0" distR="0">
            <wp:extent cx="5715000" cy="8477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ISTITUTO TECNICO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“SCARUFFI - LEVI - TRICOLORE”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Filippo Re, 8 </w:t>
        <w:tab/>
        <w:tab/>
        <w:tab/>
        <w:tab/>
        <w:tab/>
        <w:tab/>
        <w:t xml:space="preserve">               Via Pascal, 79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42121  Reggio Emilia (Italy)</w:t>
        <w:tab/>
        <w:tab/>
        <w:tab/>
        <w:tab/>
        <w:t xml:space="preserve">               </w:t>
        <w:tab/>
        <w:t xml:space="preserve">   42123  Rivalta (RE) (Italy)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(39) 0522-435761 / 0522 - 439966 </w:t>
        <w:tab/>
        <w:tab/>
        <w:tab/>
        <w:t xml:space="preserve">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(39) 0522 - 560085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RETD09000V - C.F. 91168520350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https://www.scaruffilevitricolore.edu.it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 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retd09000v@istruzione.it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retd09000v@pec.istruzione.it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Ufficio: UFHFIR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B-SCHEDA VALUTAZIONE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40" w:lineRule="auto"/>
        <w:ind w:left="2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Nell’ambito delle azioni di prevenzione e contrasto alla dispersione scolastica (D.M. 1</w:t>
      </w:r>
      <w:r w:rsidDel="00000000" w:rsidR="00000000" w:rsidRPr="00000000">
        <w:rPr>
          <w:sz w:val="24"/>
          <w:szCs w:val="24"/>
          <w:rtl w:val="0"/>
        </w:rPr>
        <w:t xml:space="preserve">9/2024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identificativo del progetto: M4C1I1.4-2024-1322-P-49164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CUP: I84D21000620006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Titolo: “Viaggio ad alta frequenza per il futuro 2.0”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LABORATORIO “INTRIGHI LOGICI: IL MONDO DEI GIOCHI DI PUZZLE”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3540" w:right="1067" w:firstLine="708.0000000000001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3540" w:right="1067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Tecnico Scaruffi Levi Tricolore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3540" w:right="1067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Reggio Emilia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50"/>
        </w:tabs>
        <w:spacing w:after="0" w:before="1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76" w:lineRule="auto"/>
        <w:ind w:left="113" w:right="29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50" w:right="292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113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titoli/esperienze attinenti all’intervento richiesto sottoindicati.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13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(Compilare la tabella nella colonna “Punteggio dichiarato dal Candidato”)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33.999999999999986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7796"/>
        <w:gridCol w:w="1843"/>
        <w:tblGridChange w:id="0">
          <w:tblGrid>
            <w:gridCol w:w="7796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 STUDIO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specifica quadriennale o quinquennale vecchio ordinamento o Laurea magistrale coerenti con la professionalità richiesta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 in discipline afferenti al progetto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(se non in possesso di laurea magistrale)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Dottorato di ricerca se attinente alla specifica professionalità richiesta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universitario di durata annuale con esame finale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(1500 ore e 60 crediti)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coerente con la professionalità richiesta.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valuta un solo titolo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Corso di specializzazione post-laurea di durata biennale coerente con la professionalità richiesta.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valuta un solo titolo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Corso di perfezionamento universitario post-laurea di durata annuale con esame finale coerente con la professionalità richiesta.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valuta un solo titolo)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FORMATIVI/ALTRI TITOLI CULTURALI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Attestati di competenze acquisite nel settore di pertinenza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 ogni attestato -max 4 attestati valutabili)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conseguite in corsi di formazione specialistici con esame finale ed inerenti alla specifica professionalità richiesta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 ogni certificazione -max 4 certificazioni valutabili)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PROFESSIONALI/TITOLI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Esperienze di docenza in attività di formazione rivolta a studenti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(per ogni esperienza-max 5 esperienze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 annuale nel settore di pertinenza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 ogni esperienza-max 5 esperienze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Incarichi in progetti di almeno 15 ore coerenti con il presente avviso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 ogni anno scolastico - max 5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nell’ambito di progetti PON/ PNSD/PNRR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 ogni esperienza – max 5 esperienze valutabili)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13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" w:line="240" w:lineRule="auto"/>
        <w:ind w:left="142" w:right="0" w:hanging="3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24" w:line="240" w:lineRule="auto"/>
        <w:ind w:left="142" w:right="0" w:hanging="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3780" y="3779280"/>
                          <a:ext cx="1324440" cy="1440"/>
                        </a:xfrm>
                        <a:custGeom>
                          <a:rect b="b" l="l" r="r" t="t"/>
                          <a:pathLst>
                            <a:path extrusionOk="0" h="120000" w="1325245">
                              <a:moveTo>
                                <a:pt x="0" y="0"/>
                              </a:moveTo>
                              <a:lnTo>
                                <a:pt x="13252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73180" y="3779280"/>
                          <a:ext cx="1745640" cy="1440"/>
                        </a:xfrm>
                        <a:custGeom>
                          <a:rect b="b" l="l" r="r" t="t"/>
                          <a:pathLst>
                            <a:path extrusionOk="0" h="120000" w="174625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4"/>
        </w:tabs>
        <w:spacing w:after="0" w:before="0" w:line="240" w:lineRule="auto"/>
        <w:ind w:left="16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(data)</w:t>
        <w:tab/>
        <w:tab/>
        <w:tab/>
        <w:tab/>
        <w:tab/>
        <w:t xml:space="preserve">(firma)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510" w:top="426" w:left="1134" w:right="113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0</wp:posOffset>
              </wp:positionV>
              <wp:extent cx="24130" cy="15621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38698" y="3706658"/>
                        <a:ext cx="146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0</wp:posOffset>
              </wp:positionV>
              <wp:extent cx="24130" cy="156210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6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etd09000v@istruzione.it" TargetMode="External"/><Relationship Id="rId8" Type="http://schemas.openxmlformats.org/officeDocument/2006/relationships/hyperlink" Target="mailto:retd09000v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